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F62D" w14:textId="77777777" w:rsidR="00380199" w:rsidRDefault="00380199">
      <w:pPr>
        <w:spacing w:after="160" w:line="259" w:lineRule="auto"/>
        <w:rPr>
          <w:rFonts w:ascii="Roboto" w:eastAsia="Roboto" w:hAnsi="Roboto" w:cs="Roboto"/>
          <w:sz w:val="28"/>
          <w:szCs w:val="28"/>
        </w:rPr>
      </w:pPr>
    </w:p>
    <w:p w14:paraId="6CD403D2" w14:textId="77777777" w:rsidR="00380199" w:rsidRDefault="00F73C27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Sporočilo za javnost </w:t>
      </w:r>
    </w:p>
    <w:p w14:paraId="1CA389A6" w14:textId="77777777" w:rsidR="00380199" w:rsidRDefault="00F73C27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OMEJEVANJE AROM JE KLJUČNI UKREP ZA GENERACIJO BREZ TOBAKA</w:t>
      </w:r>
    </w:p>
    <w:p w14:paraId="48E4709B" w14:textId="77777777" w:rsidR="00380199" w:rsidRDefault="00380199"/>
    <w:p w14:paraId="7EC0D933" w14:textId="77777777" w:rsidR="00380199" w:rsidRDefault="00380199">
      <w:pPr>
        <w:rPr>
          <w:rFonts w:ascii="Roboto" w:eastAsia="Roboto" w:hAnsi="Roboto" w:cs="Roboto"/>
        </w:rPr>
      </w:pPr>
    </w:p>
    <w:p w14:paraId="47597323" w14:textId="77777777" w:rsidR="00380199" w:rsidRDefault="00F73C27">
      <w:pPr>
        <w:jc w:val="both"/>
        <w:rPr>
          <w:rFonts w:ascii="Roboto" w:eastAsia="Roboto" w:hAnsi="Roboto" w:cs="Roboto"/>
          <w:b/>
          <w:sz w:val="24"/>
          <w:szCs w:val="24"/>
          <w:shd w:val="clear" w:color="auto" w:fill="F9FBFD"/>
        </w:rPr>
      </w:pPr>
      <w:r>
        <w:rPr>
          <w:rFonts w:ascii="Roboto" w:eastAsia="Roboto" w:hAnsi="Roboto" w:cs="Roboto"/>
          <w:b/>
        </w:rPr>
        <w:t>V letu 2023 je v razpravi predlog sprememb Zakona o omejevanju uporabe tobačnih in povezanih izdelkov (ZOUTPI), ki v celoti zajema ukrepe, omenjene v Evropski direktivi. Eden glavnih ukrepov je prepoved dodajanja arom v tobačne izdelke, pri čemer je sloven</w:t>
      </w:r>
      <w:r>
        <w:rPr>
          <w:rFonts w:ascii="Roboto" w:eastAsia="Roboto" w:hAnsi="Roboto" w:cs="Roboto"/>
          <w:b/>
        </w:rPr>
        <w:t>ska stroka šla še korak dlje v smeri spodbujanja zdravja. Tako v predlaganih spremembah zakona 12. člen ZOUTPI ne prepoveduje le arom v tobačnih izdelkih, ampak tudi v elektronskih cigaretah oz. tudi v tekočinah brez nikotina. Vse pristojne pozivamo k stra</w:t>
      </w:r>
      <w:r>
        <w:rPr>
          <w:rFonts w:ascii="Roboto" w:eastAsia="Roboto" w:hAnsi="Roboto" w:cs="Roboto"/>
          <w:b/>
        </w:rPr>
        <w:t>teškemu, verodostojnemu in odgovornemu premisleku, ki bo ščitil generacije otrok in mladih v Sloveniji.</w:t>
      </w:r>
    </w:p>
    <w:p w14:paraId="4DA2D80F" w14:textId="77777777" w:rsidR="00380199" w:rsidRDefault="00380199">
      <w:pPr>
        <w:jc w:val="both"/>
        <w:rPr>
          <w:rFonts w:ascii="Roboto" w:eastAsia="Roboto" w:hAnsi="Roboto" w:cs="Roboto"/>
          <w:sz w:val="27"/>
          <w:szCs w:val="27"/>
          <w:shd w:val="clear" w:color="auto" w:fill="F9FBFD"/>
        </w:rPr>
      </w:pPr>
    </w:p>
    <w:p w14:paraId="7B47A930" w14:textId="77777777" w:rsidR="00380199" w:rsidRDefault="00F73C27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Porast uporabe elektronskih cigaret največji med populacijo otrok in mladih</w:t>
      </w:r>
    </w:p>
    <w:p w14:paraId="07328C4E" w14:textId="77777777" w:rsidR="00380199" w:rsidRDefault="00380199">
      <w:pPr>
        <w:jc w:val="both"/>
        <w:rPr>
          <w:rFonts w:ascii="Roboto" w:eastAsia="Roboto" w:hAnsi="Roboto" w:cs="Roboto"/>
        </w:rPr>
      </w:pPr>
    </w:p>
    <w:p w14:paraId="393D352C" w14:textId="77777777" w:rsidR="00380199" w:rsidRDefault="00F73C2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 zadnjih dveh letih v slovenski družbi opažamo naraščajočo zaskrbljenost </w:t>
      </w:r>
      <w:r>
        <w:rPr>
          <w:rFonts w:ascii="Roboto" w:eastAsia="Roboto" w:hAnsi="Roboto" w:cs="Roboto"/>
        </w:rPr>
        <w:t>različnih družbenih skupin zaradi povečane uporabe novih tobačnih izdelkov. Zaskrbljenost in opozarjanje na vse večje zaznavanje uporabe med otroki in mladimi prihajajo tako s strani zdravstvene stroke kot tudi skupnosti staršev, pedagoških delavcev, nevla</w:t>
      </w:r>
      <w:r>
        <w:rPr>
          <w:rFonts w:ascii="Roboto" w:eastAsia="Roboto" w:hAnsi="Roboto" w:cs="Roboto"/>
        </w:rPr>
        <w:t>dnih organizacij in mladih. Kljub temu da je porast uporabe elektronskih cigaret možno opaziti tudi v populaciji odraslih, pa je neprimerljivo večji odstotek uporabe zabeležen med mladimi. Tako podatki iz leta 2021 kažejo, da je v zadnjih 30 dneh elektrons</w:t>
      </w:r>
      <w:r>
        <w:rPr>
          <w:rFonts w:ascii="Roboto" w:eastAsia="Roboto" w:hAnsi="Roboto" w:cs="Roboto"/>
        </w:rPr>
        <w:t xml:space="preserve">ke cigarete uporabljal 1 % odraslih prebivalcev, medtem ko odstotek pri dijakih 2. letnikov znaša 11 % (NIJZ, 2021). Po podatkih iz osnovnih šol vemo, da so uporabo elektronskih cigaret zaznali tudi pri otrocih, torej pri 4. ali 5. razredu. </w:t>
      </w:r>
    </w:p>
    <w:p w14:paraId="7C2DB298" w14:textId="77777777" w:rsidR="00380199" w:rsidRDefault="00380199">
      <w:pPr>
        <w:jc w:val="both"/>
        <w:rPr>
          <w:rFonts w:ascii="Roboto" w:eastAsia="Roboto" w:hAnsi="Roboto" w:cs="Roboto"/>
        </w:rPr>
      </w:pPr>
    </w:p>
    <w:p w14:paraId="00297AB7" w14:textId="77777777" w:rsidR="00380199" w:rsidRDefault="00F73C27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Arome večajo </w:t>
      </w:r>
      <w:r>
        <w:rPr>
          <w:rFonts w:ascii="Roboto" w:eastAsia="Roboto" w:hAnsi="Roboto" w:cs="Roboto"/>
          <w:b/>
        </w:rPr>
        <w:t>privlačnost elektronskih cigaret in drugih tobačnih izdelkov</w:t>
      </w:r>
    </w:p>
    <w:p w14:paraId="52557DF2" w14:textId="77777777" w:rsidR="00380199" w:rsidRDefault="00380199">
      <w:pPr>
        <w:jc w:val="both"/>
        <w:rPr>
          <w:rFonts w:ascii="Roboto" w:eastAsia="Roboto" w:hAnsi="Roboto" w:cs="Roboto"/>
        </w:rPr>
      </w:pPr>
    </w:p>
    <w:p w14:paraId="34CD80FC" w14:textId="77777777" w:rsidR="00380199" w:rsidRDefault="00F73C2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Vemo, da imajo klasične cigarete v družbi negativno podobo, k čemur pripomore tudi vonj ali okus. Novi tobačni izdelki, ki zajemajo elektronske cigarete različnih oblik, pa z vnosom različnih ar</w:t>
      </w:r>
      <w:r>
        <w:rPr>
          <w:rFonts w:ascii="Roboto" w:eastAsia="Roboto" w:hAnsi="Roboto" w:cs="Roboto"/>
        </w:rPr>
        <w:t>om olepšajo podobo tobačnega izdelka. Uporaba arom je pogostejša med mladimi kot med odraslimi. Vzroki za to so povezani predvsem z veliko izbiro arom (sadne, sladke, osvežilne, itd.), torej s preprečevanjem neprijetnega vonja in boljšim okusom med uporabo</w:t>
      </w:r>
      <w:r>
        <w:rPr>
          <w:rFonts w:ascii="Roboto" w:eastAsia="Roboto" w:hAnsi="Roboto" w:cs="Roboto"/>
        </w:rPr>
        <w:t xml:space="preserve"> izdelka. Poleg drugih potencialno nevarnih snovi (kemične, rakotvorne in dražilne snovi) v elektronskih cigaretah so arome že same po sebi škodljive za zdravje, saj so lahko ob vdihavanju zelo nevarne. Slednje so nenazadnje marketinški prijemi tobačne ind</w:t>
      </w:r>
      <w:r>
        <w:rPr>
          <w:rFonts w:ascii="Roboto" w:eastAsia="Roboto" w:hAnsi="Roboto" w:cs="Roboto"/>
        </w:rPr>
        <w:t xml:space="preserve">ustrije, ki zameglijo podobo za zdravje škodljivega izdelka. Zlasti gre za škodljive izdelke za otroke in </w:t>
      </w:r>
      <w:r>
        <w:rPr>
          <w:rFonts w:ascii="Roboto" w:eastAsia="Roboto" w:hAnsi="Roboto" w:cs="Roboto"/>
        </w:rPr>
        <w:lastRenderedPageBreak/>
        <w:t xml:space="preserve">mladostnike, ki so še v razvojni fazi. Zaradi tega so bolj nagnjeni k hitri zasvojenosti in so zaradi manjšega števila življenjskih izkušenj primarna </w:t>
      </w:r>
      <w:r>
        <w:rPr>
          <w:rFonts w:ascii="Roboto" w:eastAsia="Roboto" w:hAnsi="Roboto" w:cs="Roboto"/>
        </w:rPr>
        <w:t>tarča industrije, ki si želi zgolj dobička.</w:t>
      </w:r>
    </w:p>
    <w:p w14:paraId="4ADA2421" w14:textId="77777777" w:rsidR="00380199" w:rsidRDefault="00380199">
      <w:pPr>
        <w:jc w:val="both"/>
        <w:rPr>
          <w:rFonts w:ascii="Roboto" w:eastAsia="Roboto" w:hAnsi="Roboto" w:cs="Roboto"/>
        </w:rPr>
      </w:pPr>
    </w:p>
    <w:p w14:paraId="2DA8E500" w14:textId="77777777" w:rsidR="00380199" w:rsidRDefault="00F73C27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Slovenija po zgledu Nizozemske in drugih držav</w:t>
      </w:r>
    </w:p>
    <w:p w14:paraId="4365F0C4" w14:textId="77777777" w:rsidR="00380199" w:rsidRDefault="00380199">
      <w:pPr>
        <w:jc w:val="both"/>
        <w:rPr>
          <w:rFonts w:ascii="Roboto" w:eastAsia="Roboto" w:hAnsi="Roboto" w:cs="Roboto"/>
          <w:b/>
        </w:rPr>
      </w:pPr>
    </w:p>
    <w:p w14:paraId="38D258C9" w14:textId="77777777" w:rsidR="00380199" w:rsidRDefault="00F73C2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Slovenija se ob trenutno zapisanem predlogu spremembe 12. člena ZOUTPI zgleduje po Nizozemski, ki prepoveduje vse arome, razen tobačnih. Podobno prepoved so od let</w:t>
      </w:r>
      <w:r>
        <w:rPr>
          <w:rFonts w:ascii="Roboto" w:eastAsia="Roboto" w:hAnsi="Roboto" w:cs="Roboto"/>
        </w:rPr>
        <w:t xml:space="preserve">a 2016 do 2020 uvedle tudi Avstrija, Litva, Finska, Estonija (le prepoved arome mentola), Danska, Madžarska, Norveška in Nemčija. Prav tako to načrtujejo na Švedskem, v Španiji, Latviji in na Slovaškem. </w:t>
      </w:r>
    </w:p>
    <w:p w14:paraId="78A4D8BA" w14:textId="77777777" w:rsidR="00380199" w:rsidRDefault="00F73C27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"S sprejetjem in izvajanjem predvidenih ukrepov, ki </w:t>
      </w:r>
      <w:r>
        <w:rPr>
          <w:rFonts w:ascii="Roboto" w:eastAsia="Roboto" w:hAnsi="Roboto" w:cs="Roboto"/>
        </w:rPr>
        <w:t xml:space="preserve">temeljijo na dokazih, želimo v Sloveniji ustvariti varnejše okolje in spodbujati bolj zdrave odločitve s strani posameznikov. Vsi argumenti v prid nesprejetju predlaganih ukrepov nimajo znanstvene podlage in so dokaz, da skuša na odločitve Vlade Republike </w:t>
      </w:r>
      <w:r>
        <w:rPr>
          <w:rFonts w:ascii="Roboto" w:eastAsia="Roboto" w:hAnsi="Roboto" w:cs="Roboto"/>
        </w:rPr>
        <w:t xml:space="preserve">Slovenije in slovenskega parlamenta ponovno ključno vplivati tobačna industrija, kar se nam zdi nesprejemljivo," je povedal </w:t>
      </w:r>
      <w:r>
        <w:rPr>
          <w:rFonts w:ascii="Roboto" w:eastAsia="Roboto" w:hAnsi="Roboto" w:cs="Roboto"/>
          <w:b/>
        </w:rPr>
        <w:t>Matej Košir z Inštituta Utrip in mreže Preventivna platforma</w:t>
      </w:r>
      <w:r>
        <w:rPr>
          <w:rFonts w:ascii="Roboto" w:eastAsia="Roboto" w:hAnsi="Roboto" w:cs="Roboto"/>
        </w:rPr>
        <w:t>.</w:t>
      </w:r>
    </w:p>
    <w:p w14:paraId="671B633C" w14:textId="77777777" w:rsidR="00380199" w:rsidRDefault="00F73C27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Manca Kozlovič iz Mladinske Zveze Brez izgovora</w:t>
      </w:r>
      <w:r>
        <w:rPr>
          <w:rFonts w:ascii="Roboto" w:eastAsia="Roboto" w:hAnsi="Roboto" w:cs="Roboto"/>
        </w:rPr>
        <w:t xml:space="preserve"> je poudarila, da "se z</w:t>
      </w:r>
      <w:r>
        <w:rPr>
          <w:rFonts w:ascii="Roboto" w:eastAsia="Roboto" w:hAnsi="Roboto" w:cs="Roboto"/>
        </w:rPr>
        <w:t xml:space="preserve"> ne dovolj ambiciozno zakonodajo odmikamo od strožjih ukrepov in hkrati oddaljujemo od možnosti, da bi do 2040 dosegli generacijo mladih brez tobaka."</w:t>
      </w:r>
    </w:p>
    <w:p w14:paraId="20BAE4D1" w14:textId="77777777" w:rsidR="00380199" w:rsidRDefault="00F73C27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"Vsi predvideni strožji ukrepi v predlogu Zakona o spremembah in dopolnitvah Zakona o omejevanju uporabe </w:t>
      </w:r>
      <w:r>
        <w:rPr>
          <w:rFonts w:ascii="Roboto" w:eastAsia="Roboto" w:hAnsi="Roboto" w:cs="Roboto"/>
        </w:rPr>
        <w:t>tobačnih in povezanih izdelkov imajo močne znanstvene temelje v številnih raziskavah. Tudi ukrep prepovedi vseh arom v tobačnih izdelkih, vključno z elektronskimi cigaretami, oziroma v tekočinah brez nikotina. Prepoved arom v vseh tobačnih in povezanih izd</w:t>
      </w:r>
      <w:r>
        <w:rPr>
          <w:rFonts w:ascii="Roboto" w:eastAsia="Roboto" w:hAnsi="Roboto" w:cs="Roboto"/>
        </w:rPr>
        <w:t xml:space="preserve">elkih je ključnega pomena za varovanje javnega zdravja in zmanjšanje privlačnosti teh škodljivih izdelkov, zlasti med mladimi," je povedal </w:t>
      </w:r>
      <w:r>
        <w:rPr>
          <w:rFonts w:ascii="Roboto" w:eastAsia="Roboto" w:hAnsi="Roboto" w:cs="Roboto"/>
          <w:b/>
        </w:rPr>
        <w:t>Franc Zalar, predsednik Slovenskega združenja za kronične nenalezljive bolezni</w:t>
      </w:r>
      <w:r>
        <w:rPr>
          <w:rFonts w:ascii="Roboto" w:eastAsia="Roboto" w:hAnsi="Roboto" w:cs="Roboto"/>
        </w:rPr>
        <w:t xml:space="preserve">. </w:t>
      </w:r>
    </w:p>
    <w:p w14:paraId="3CE8EE9B" w14:textId="77777777" w:rsidR="00380199" w:rsidRDefault="00F73C27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 </w:t>
      </w:r>
      <w:r>
        <w:rPr>
          <w:rFonts w:ascii="Roboto" w:eastAsia="Roboto" w:hAnsi="Roboto" w:cs="Roboto"/>
          <w:b/>
        </w:rPr>
        <w:t>Mednarodni zvezi za zdravje mladih (</w:t>
      </w:r>
      <w:proofErr w:type="spellStart"/>
      <w:r>
        <w:rPr>
          <w:rFonts w:ascii="Roboto" w:eastAsia="Roboto" w:hAnsi="Roboto" w:cs="Roboto"/>
          <w:b/>
        </w:rPr>
        <w:t>International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Youth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Health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Organization</w:t>
      </w:r>
      <w:proofErr w:type="spellEnd"/>
      <w:r>
        <w:rPr>
          <w:rFonts w:ascii="Roboto" w:eastAsia="Roboto" w:hAnsi="Roboto" w:cs="Roboto"/>
          <w:b/>
        </w:rPr>
        <w:t xml:space="preserve">) </w:t>
      </w:r>
      <w:r>
        <w:rPr>
          <w:rFonts w:ascii="Roboto" w:eastAsia="Roboto" w:hAnsi="Roboto" w:cs="Roboto"/>
        </w:rPr>
        <w:t xml:space="preserve">pritrjujejo, da je "prepoved arom v tobačnih in povezanih izdelkih ključen korak za varovanje zdravja mladih in brzdanje epidemije kajenja in </w:t>
      </w:r>
      <w:proofErr w:type="spellStart"/>
      <w:r>
        <w:rPr>
          <w:rFonts w:ascii="Roboto" w:eastAsia="Roboto" w:hAnsi="Roboto" w:cs="Roboto"/>
        </w:rPr>
        <w:t>vejpanja</w:t>
      </w:r>
      <w:proofErr w:type="spellEnd"/>
      <w:r>
        <w:rPr>
          <w:rFonts w:ascii="Roboto" w:eastAsia="Roboto" w:hAnsi="Roboto" w:cs="Roboto"/>
        </w:rPr>
        <w:t xml:space="preserve"> med mladimi, saj je zanje en</w:t>
      </w:r>
      <w:r>
        <w:rPr>
          <w:rFonts w:ascii="Roboto" w:eastAsia="Roboto" w:hAnsi="Roboto" w:cs="Roboto"/>
        </w:rPr>
        <w:t>a izmed najprivlačnejših stvari ravno velika izbira arom, ki prikrivajo negativne učinke uporabe tobaka in nikotina."</w:t>
      </w:r>
    </w:p>
    <w:p w14:paraId="4F16917D" w14:textId="77777777" w:rsidR="00380199" w:rsidRDefault="00F73C27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"V Sloveniji je tobak vodilni preprečljiv dejavnik tveganja za prezgodnjo smrt in izgubljena zdrava leta življenja. Letno zaradi bolezni, </w:t>
      </w:r>
      <w:r>
        <w:rPr>
          <w:rFonts w:ascii="Roboto" w:eastAsia="Roboto" w:hAnsi="Roboto" w:cs="Roboto"/>
        </w:rPr>
        <w:t>pripisljivih kajenju, umre več kot 3000 prebivalcev. Februarja 2023 je bil predlog Zakona o spremembah in dopolnitvah Zakona o omejevanju uporabe tobačnih in povezanih izdelkov posredovan v javno razpravo do 30. marca 2023. Slovenske nevladne organizacije,</w:t>
      </w:r>
      <w:r>
        <w:rPr>
          <w:rFonts w:ascii="Roboto" w:eastAsia="Roboto" w:hAnsi="Roboto" w:cs="Roboto"/>
        </w:rPr>
        <w:t xml:space="preserve"> ki delujemo na področju zdravja, smo se množično odzvale </w:t>
      </w:r>
      <w:r>
        <w:rPr>
          <w:rFonts w:ascii="Roboto" w:eastAsia="Roboto" w:hAnsi="Roboto" w:cs="Roboto"/>
        </w:rPr>
        <w:lastRenderedPageBreak/>
        <w:t>in predlog javno podprle. Cilj predlaganih ukrepov je uskladitev nacionalne zakonodaje s pravnim redom EU glede strožjih določb za ogrevane tobačne izdelke, s prepovedjo privlačnih arom v elektronsk</w:t>
      </w:r>
      <w:r>
        <w:rPr>
          <w:rFonts w:ascii="Roboto" w:eastAsia="Roboto" w:hAnsi="Roboto" w:cs="Roboto"/>
        </w:rPr>
        <w:t>ih cigaretah, hkrati pa doseči boljši nadzor in doslednejše sankcioniranje kršitev predpisov zakonodaje. Tudi nevladne organizacije se strinjamo, da bomo v Sloveniji s predlaganimi ukrepi prispevali k boljšemu zdravju ljudi in vzdržnosti zdravstvenega sist</w:t>
      </w:r>
      <w:r>
        <w:rPr>
          <w:rFonts w:ascii="Roboto" w:eastAsia="Roboto" w:hAnsi="Roboto" w:cs="Roboto"/>
        </w:rPr>
        <w:t xml:space="preserve">ema," je dejal </w:t>
      </w:r>
      <w:r>
        <w:rPr>
          <w:rFonts w:ascii="Roboto" w:eastAsia="Roboto" w:hAnsi="Roboto" w:cs="Roboto"/>
          <w:b/>
        </w:rPr>
        <w:t>Miha Lovše, podpredsednik Slovenske zveze za javno zdravje, okolje in tobačno kontrolo ter vodja vsebinske mreže NVO varujejo naše zdravje</w:t>
      </w:r>
      <w:r>
        <w:rPr>
          <w:rFonts w:ascii="Roboto" w:eastAsia="Roboto" w:hAnsi="Roboto" w:cs="Roboto"/>
        </w:rPr>
        <w:t>.</w:t>
      </w:r>
    </w:p>
    <w:p w14:paraId="2FD858CE" w14:textId="77777777" w:rsidR="00380199" w:rsidRDefault="00380199">
      <w:pPr>
        <w:shd w:val="clear" w:color="auto" w:fill="FFFFFF"/>
        <w:spacing w:before="240"/>
        <w:jc w:val="both"/>
        <w:rPr>
          <w:rFonts w:ascii="Roboto" w:eastAsia="Roboto" w:hAnsi="Roboto" w:cs="Roboto"/>
        </w:rPr>
      </w:pPr>
    </w:p>
    <w:p w14:paraId="19D39BFF" w14:textId="77777777" w:rsidR="00380199" w:rsidRDefault="00F73C27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Poziv k prevzemanju odgovornosti pristojnih ministrstev za zaščito generacij otrok in mladostnikov</w:t>
      </w:r>
    </w:p>
    <w:p w14:paraId="66145236" w14:textId="77777777" w:rsidR="00380199" w:rsidRDefault="00380199">
      <w:pPr>
        <w:jc w:val="both"/>
        <w:rPr>
          <w:rFonts w:ascii="Roboto" w:eastAsia="Roboto" w:hAnsi="Roboto" w:cs="Roboto"/>
          <w:b/>
        </w:rPr>
      </w:pPr>
    </w:p>
    <w:p w14:paraId="34A2D3E2" w14:textId="77777777" w:rsidR="00380199" w:rsidRDefault="00F73C27">
      <w:pPr>
        <w:jc w:val="both"/>
        <w:rPr>
          <w:color w:val="222222"/>
          <w:sz w:val="20"/>
          <w:szCs w:val="20"/>
        </w:rPr>
      </w:pPr>
      <w:r>
        <w:rPr>
          <w:rFonts w:ascii="Roboto" w:eastAsia="Roboto" w:hAnsi="Roboto" w:cs="Roboto"/>
        </w:rPr>
        <w:t>Odgovorne v postopkih usklajevanja zakona, ministrstva, ki so vključena v razpravo 12. člena ZOUTPI, pozivamo k tehtnemu premisleku. Slednji naj temelji na strokovnosti, strateškem premisleku in moralno-etični odgovornosti, ki jo imajo odločevalci do vseh</w:t>
      </w:r>
      <w:r>
        <w:rPr>
          <w:rFonts w:ascii="Roboto" w:eastAsia="Roboto" w:hAnsi="Roboto" w:cs="Roboto"/>
        </w:rPr>
        <w:t xml:space="preserve"> prebivalcev Slovenije.</w:t>
      </w:r>
    </w:p>
    <w:p w14:paraId="65A75F03" w14:textId="77777777" w:rsidR="00380199" w:rsidRDefault="00380199">
      <w:pPr>
        <w:spacing w:before="240"/>
        <w:jc w:val="both"/>
        <w:rPr>
          <w:rFonts w:ascii="Roboto" w:eastAsia="Roboto" w:hAnsi="Roboto" w:cs="Roboto"/>
        </w:rPr>
      </w:pPr>
    </w:p>
    <w:p w14:paraId="60F4F517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Za vsa dodatna vprašanja in pojasnila smo vam na voljo po elektronski pošti na info@noexcuse.si ali telefonu 041 679 756 (Brez izgovora). </w:t>
      </w:r>
    </w:p>
    <w:p w14:paraId="306B6EFD" w14:textId="77777777" w:rsidR="00380199" w:rsidRDefault="00380199">
      <w:pPr>
        <w:rPr>
          <w:rFonts w:ascii="Roboto" w:eastAsia="Roboto" w:hAnsi="Roboto" w:cs="Roboto"/>
        </w:rPr>
      </w:pPr>
    </w:p>
    <w:p w14:paraId="248DAE83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Zahvaljujemo se vam za morebitne objave, prispevke in dodatna vprašanja.</w:t>
      </w:r>
    </w:p>
    <w:p w14:paraId="6A6C9FD2" w14:textId="77777777" w:rsidR="00380199" w:rsidRDefault="00380199">
      <w:pPr>
        <w:rPr>
          <w:rFonts w:ascii="Roboto" w:eastAsia="Roboto" w:hAnsi="Roboto" w:cs="Roboto"/>
        </w:rPr>
      </w:pPr>
    </w:p>
    <w:p w14:paraId="643C1906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Lep pozdrav,</w:t>
      </w:r>
    </w:p>
    <w:p w14:paraId="7098DDEF" w14:textId="77777777" w:rsidR="00380199" w:rsidRDefault="00380199">
      <w:pPr>
        <w:rPr>
          <w:rFonts w:ascii="Roboto" w:eastAsia="Roboto" w:hAnsi="Roboto" w:cs="Roboto"/>
        </w:rPr>
      </w:pPr>
    </w:p>
    <w:p w14:paraId="33870319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Mia</w:t>
      </w:r>
      <w:r>
        <w:rPr>
          <w:rFonts w:ascii="Roboto" w:eastAsia="Roboto" w:hAnsi="Roboto" w:cs="Roboto"/>
          <w:b/>
        </w:rPr>
        <w:t xml:space="preserve"> Zupančič,</w:t>
      </w:r>
      <w:r>
        <w:rPr>
          <w:rFonts w:ascii="Roboto" w:eastAsia="Roboto" w:hAnsi="Roboto" w:cs="Roboto"/>
        </w:rPr>
        <w:t xml:space="preserve"> generalna sekretarka Mladinske zveze Brez izgovora Slovenija</w:t>
      </w:r>
    </w:p>
    <w:p w14:paraId="5D8EB7DD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Franc Zalar, </w:t>
      </w:r>
      <w:r>
        <w:rPr>
          <w:rFonts w:ascii="Roboto" w:eastAsia="Roboto" w:hAnsi="Roboto" w:cs="Roboto"/>
        </w:rPr>
        <w:t>predsednik ZKNB in podpredsednik Društva za zdravje srca in ožilja</w:t>
      </w:r>
    </w:p>
    <w:p w14:paraId="473074B3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Matej Košir, </w:t>
      </w:r>
      <w:r>
        <w:rPr>
          <w:rFonts w:ascii="Roboto" w:eastAsia="Roboto" w:hAnsi="Roboto" w:cs="Roboto"/>
        </w:rPr>
        <w:t>direktor Inštituta Utrip in vodja mreže Preventivna platforma</w:t>
      </w:r>
    </w:p>
    <w:p w14:paraId="28F9C195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mag. Nataša Jan,</w:t>
      </w:r>
      <w:r>
        <w:rPr>
          <w:rFonts w:ascii="Roboto" w:eastAsia="Roboto" w:hAnsi="Roboto" w:cs="Roboto"/>
        </w:rPr>
        <w:t xml:space="preserve"> direktorica </w:t>
      </w:r>
      <w:r>
        <w:rPr>
          <w:rFonts w:ascii="Roboto" w:eastAsia="Roboto" w:hAnsi="Roboto" w:cs="Roboto"/>
        </w:rPr>
        <w:t>Društva za zdravje srca in ožilja Slovenije</w:t>
      </w:r>
    </w:p>
    <w:p w14:paraId="108440B5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Mihaela Lovše,</w:t>
      </w:r>
      <w:r>
        <w:rPr>
          <w:rFonts w:ascii="Roboto" w:eastAsia="Roboto" w:hAnsi="Roboto" w:cs="Roboto"/>
        </w:rPr>
        <w:t xml:space="preserve"> predsednica Slovenske zveze za javno zdravje, okolje in tobačno kontrolo </w:t>
      </w:r>
    </w:p>
    <w:p w14:paraId="3CB30F7C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Tomaž Gorenc,</w:t>
      </w:r>
      <w:r>
        <w:rPr>
          <w:rFonts w:ascii="Roboto" w:eastAsia="Roboto" w:hAnsi="Roboto" w:cs="Roboto"/>
        </w:rPr>
        <w:t xml:space="preserve"> direktor Inštituta za zdravje in okolje (IZO)</w:t>
      </w:r>
    </w:p>
    <w:p w14:paraId="3C65D693" w14:textId="77777777" w:rsidR="00380199" w:rsidRDefault="00F73C2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Andrej Martin </w:t>
      </w:r>
      <w:proofErr w:type="spellStart"/>
      <w:r>
        <w:rPr>
          <w:rFonts w:ascii="Roboto" w:eastAsia="Roboto" w:hAnsi="Roboto" w:cs="Roboto"/>
          <w:b/>
        </w:rPr>
        <w:t>Vujkovac</w:t>
      </w:r>
      <w:proofErr w:type="spellEnd"/>
      <w:r>
        <w:rPr>
          <w:rFonts w:ascii="Roboto" w:eastAsia="Roboto" w:hAnsi="Roboto" w:cs="Roboto"/>
          <w:b/>
        </w:rPr>
        <w:t xml:space="preserve">, </w:t>
      </w:r>
      <w:r>
        <w:rPr>
          <w:rFonts w:ascii="Roboto" w:eastAsia="Roboto" w:hAnsi="Roboto" w:cs="Roboto"/>
        </w:rPr>
        <w:t xml:space="preserve">predsednik Mednarodne zveze za zdravje </w:t>
      </w:r>
      <w:r>
        <w:rPr>
          <w:rFonts w:ascii="Roboto" w:eastAsia="Roboto" w:hAnsi="Roboto" w:cs="Roboto"/>
        </w:rPr>
        <w:t xml:space="preserve">mladih – </w:t>
      </w:r>
      <w:proofErr w:type="spellStart"/>
      <w:r>
        <w:rPr>
          <w:rFonts w:ascii="Roboto" w:eastAsia="Roboto" w:hAnsi="Roboto" w:cs="Roboto"/>
        </w:rPr>
        <w:t>International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Youth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Health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Organization</w:t>
      </w:r>
      <w:proofErr w:type="spellEnd"/>
      <w:r>
        <w:rPr>
          <w:rFonts w:ascii="Roboto" w:eastAsia="Roboto" w:hAnsi="Roboto" w:cs="Roboto"/>
        </w:rPr>
        <w:t xml:space="preserve"> (YHO)</w:t>
      </w:r>
    </w:p>
    <w:p w14:paraId="29E586AB" w14:textId="77777777" w:rsidR="00380199" w:rsidRDefault="00380199">
      <w:pPr>
        <w:rPr>
          <w:rFonts w:ascii="Roboto" w:eastAsia="Roboto" w:hAnsi="Roboto" w:cs="Roboto"/>
        </w:rPr>
      </w:pPr>
    </w:p>
    <w:p w14:paraId="656C099D" w14:textId="77777777" w:rsidR="00380199" w:rsidRDefault="00380199">
      <w:pPr>
        <w:rPr>
          <w:rFonts w:ascii="Roboto" w:eastAsia="Roboto" w:hAnsi="Roboto" w:cs="Roboto"/>
        </w:rPr>
      </w:pPr>
    </w:p>
    <w:p w14:paraId="7CB9AE6A" w14:textId="77777777" w:rsidR="00380199" w:rsidRDefault="00380199">
      <w:pPr>
        <w:rPr>
          <w:rFonts w:ascii="Roboto" w:eastAsia="Roboto" w:hAnsi="Roboto" w:cs="Roboto"/>
        </w:rPr>
      </w:pPr>
    </w:p>
    <w:p w14:paraId="7A65054D" w14:textId="77777777" w:rsidR="00380199" w:rsidRDefault="00380199">
      <w:pPr>
        <w:rPr>
          <w:rFonts w:ascii="Roboto" w:eastAsia="Roboto" w:hAnsi="Roboto" w:cs="Roboto"/>
        </w:rPr>
      </w:pPr>
    </w:p>
    <w:p w14:paraId="1089514A" w14:textId="77777777" w:rsidR="00380199" w:rsidRDefault="00380199">
      <w:pPr>
        <w:rPr>
          <w:rFonts w:ascii="Roboto" w:eastAsia="Roboto" w:hAnsi="Roboto" w:cs="Roboto"/>
        </w:rPr>
      </w:pPr>
    </w:p>
    <w:sectPr w:rsidR="00380199">
      <w:headerReference w:type="default" r:id="rId6"/>
      <w:pgSz w:w="11909" w:h="16834"/>
      <w:pgMar w:top="325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E0FE" w14:textId="77777777" w:rsidR="00F73C27" w:rsidRDefault="00F73C27">
      <w:pPr>
        <w:spacing w:line="240" w:lineRule="auto"/>
      </w:pPr>
      <w:r>
        <w:separator/>
      </w:r>
    </w:p>
  </w:endnote>
  <w:endnote w:type="continuationSeparator" w:id="0">
    <w:p w14:paraId="73457C0E" w14:textId="77777777" w:rsidR="00F73C27" w:rsidRDefault="00F7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0884" w14:textId="77777777" w:rsidR="00F73C27" w:rsidRDefault="00F73C27">
      <w:pPr>
        <w:spacing w:line="240" w:lineRule="auto"/>
      </w:pPr>
      <w:r>
        <w:separator/>
      </w:r>
    </w:p>
  </w:footnote>
  <w:footnote w:type="continuationSeparator" w:id="0">
    <w:p w14:paraId="58309BE1" w14:textId="77777777" w:rsidR="00F73C27" w:rsidRDefault="00F73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EB65" w14:textId="2DDD89EF" w:rsidR="00380199" w:rsidRDefault="003A0EF9">
    <w:pPr>
      <w:spacing w:after="160" w:line="259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36481FB" wp14:editId="7C2627EF">
          <wp:simplePos x="0" y="0"/>
          <wp:positionH relativeFrom="margin">
            <wp:posOffset>837565</wp:posOffset>
          </wp:positionH>
          <wp:positionV relativeFrom="margin">
            <wp:posOffset>-900430</wp:posOffset>
          </wp:positionV>
          <wp:extent cx="1333500" cy="437017"/>
          <wp:effectExtent l="0" t="0" r="0" b="127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37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114300" distB="114300" distL="114300" distR="114300" simplePos="0" relativeHeight="251658240" behindDoc="1" locked="0" layoutInCell="1" hidden="0" allowOverlap="1" wp14:anchorId="234EB92C" wp14:editId="341E54ED">
          <wp:simplePos x="0" y="0"/>
          <wp:positionH relativeFrom="column">
            <wp:posOffset>2490788</wp:posOffset>
          </wp:positionH>
          <wp:positionV relativeFrom="paragraph">
            <wp:posOffset>390525</wp:posOffset>
          </wp:positionV>
          <wp:extent cx="996021" cy="1038225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021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0" distB="0" distL="0" distR="0" simplePos="0" relativeHeight="251659264" behindDoc="1" locked="0" layoutInCell="1" hidden="0" allowOverlap="1" wp14:anchorId="2DB81441" wp14:editId="09EDD324">
          <wp:simplePos x="0" y="0"/>
          <wp:positionH relativeFrom="column">
            <wp:posOffset>3762375</wp:posOffset>
          </wp:positionH>
          <wp:positionV relativeFrom="paragraph">
            <wp:posOffset>285750</wp:posOffset>
          </wp:positionV>
          <wp:extent cx="1476375" cy="1191282"/>
          <wp:effectExtent l="0" t="0" r="0" b="0"/>
          <wp:wrapNone/>
          <wp:docPr id="3" name="image2.png" descr="Slovenska zveza za javno zdravje, okolje in tobačno kontr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lovenska zveza za javno zdravje, okolje in tobačno kontrol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191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114300" distB="114300" distL="114300" distR="114300" simplePos="0" relativeHeight="251660288" behindDoc="1" locked="0" layoutInCell="1" hidden="0" allowOverlap="1" wp14:anchorId="03C9B12C" wp14:editId="6B9E9516">
          <wp:simplePos x="0" y="0"/>
          <wp:positionH relativeFrom="column">
            <wp:posOffset>247650</wp:posOffset>
          </wp:positionH>
          <wp:positionV relativeFrom="paragraph">
            <wp:posOffset>-133349</wp:posOffset>
          </wp:positionV>
          <wp:extent cx="1995488" cy="42249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422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0" distB="0" distL="0" distR="0" simplePos="0" relativeHeight="251661312" behindDoc="1" locked="0" layoutInCell="1" hidden="0" allowOverlap="1" wp14:anchorId="3DCA5E5C" wp14:editId="1792C285">
          <wp:simplePos x="0" y="0"/>
          <wp:positionH relativeFrom="column">
            <wp:posOffset>3007050</wp:posOffset>
          </wp:positionH>
          <wp:positionV relativeFrom="paragraph">
            <wp:posOffset>-371474</wp:posOffset>
          </wp:positionV>
          <wp:extent cx="2726596" cy="657225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596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0" distB="0" distL="0" distR="0" simplePos="0" relativeHeight="251662336" behindDoc="1" locked="0" layoutInCell="1" hidden="0" allowOverlap="1" wp14:anchorId="743D2CA6" wp14:editId="69E6CF51">
          <wp:simplePos x="0" y="0"/>
          <wp:positionH relativeFrom="column">
            <wp:posOffset>5238750</wp:posOffset>
          </wp:positionH>
          <wp:positionV relativeFrom="paragraph">
            <wp:posOffset>447675</wp:posOffset>
          </wp:positionV>
          <wp:extent cx="1152525" cy="622532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622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C27">
      <w:rPr>
        <w:noProof/>
      </w:rPr>
      <w:drawing>
        <wp:anchor distT="0" distB="0" distL="0" distR="0" simplePos="0" relativeHeight="251663360" behindDoc="1" locked="0" layoutInCell="1" hidden="0" allowOverlap="1" wp14:anchorId="56AC4FBC" wp14:editId="2B7BBC0F">
          <wp:simplePos x="0" y="0"/>
          <wp:positionH relativeFrom="column">
            <wp:posOffset>-638174</wp:posOffset>
          </wp:positionH>
          <wp:positionV relativeFrom="paragraph">
            <wp:posOffset>390525</wp:posOffset>
          </wp:positionV>
          <wp:extent cx="1381125" cy="1115732"/>
          <wp:effectExtent l="0" t="0" r="0" b="0"/>
          <wp:wrapNone/>
          <wp:docPr id="5" name="image4.png" descr="Inštitut Utr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štitut Utrip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115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99"/>
    <w:rsid w:val="00380199"/>
    <w:rsid w:val="003A0EF9"/>
    <w:rsid w:val="009E16A0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58BC"/>
  <w15:docId w15:val="{4E1E15CB-6FA8-4017-9F09-586A5D1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9E16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16A0"/>
  </w:style>
  <w:style w:type="paragraph" w:styleId="Noga">
    <w:name w:val="footer"/>
    <w:basedOn w:val="Navaden"/>
    <w:link w:val="NogaZnak"/>
    <w:uiPriority w:val="99"/>
    <w:unhideWhenUsed/>
    <w:rsid w:val="009E16A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2023-09-27T06:57:00Z</cp:lastPrinted>
  <dcterms:created xsi:type="dcterms:W3CDTF">2023-09-27T06:56:00Z</dcterms:created>
  <dcterms:modified xsi:type="dcterms:W3CDTF">2023-09-27T06:58:00Z</dcterms:modified>
</cp:coreProperties>
</file>